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云南省互联网协会四届理事会换届方案</w:t>
      </w:r>
      <w:r>
        <w:rPr>
          <w:rFonts w:ascii="Calibri" w:hAnsi="Calibri" w:eastAsia="仿宋_GB2312" w:cs="Calibri"/>
          <w:sz w:val="32"/>
          <w:szCs w:val="32"/>
        </w:rPr>
        <w:t> 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依据《社会团体登记管理条例》、《云南省行业协会条例》、《云南省社会团体换届选举工作指引（试行）》等相关法律法规和政策要求，按照《云南省互联网协会章程》，制定换届方案如下：</w:t>
      </w:r>
    </w:p>
    <w:p>
      <w:pPr>
        <w:pStyle w:val="4"/>
        <w:numPr>
          <w:ilvl w:val="0"/>
          <w:numId w:val="1"/>
        </w:numPr>
        <w:spacing w:line="640" w:lineRule="exact"/>
        <w:ind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换届选举机构设置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根据《云南省社会团体换届选举工作指引（试行）》，协会四届理事会即作为本次换届选举机构，</w:t>
      </w:r>
      <w:r>
        <w:rPr>
          <w:rFonts w:hint="eastAsia" w:ascii="仿宋_GB2312" w:hAnsi="Times New Roman" w:eastAsia="仿宋_GB2312"/>
          <w:sz w:val="32"/>
          <w:szCs w:val="32"/>
        </w:rPr>
        <w:t>全权负责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换届选举工作。</w:t>
      </w:r>
    </w:p>
    <w:p>
      <w:pPr>
        <w:pStyle w:val="4"/>
        <w:numPr>
          <w:ilvl w:val="0"/>
          <w:numId w:val="1"/>
        </w:numPr>
        <w:spacing w:line="640" w:lineRule="exact"/>
        <w:ind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换届时间、地点、届次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（一）换届时间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：2021年12月-2022年2月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：昆明市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（三）届次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：第五届</w:t>
      </w:r>
    </w:p>
    <w:p>
      <w:pPr>
        <w:pStyle w:val="4"/>
        <w:numPr>
          <w:ilvl w:val="0"/>
          <w:numId w:val="1"/>
        </w:numPr>
        <w:spacing w:line="640" w:lineRule="exact"/>
        <w:ind w:firstLine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会员大会规模、组成原则和代表产生办法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（一）现有会员规模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按照协会章程及会员管理相关办法，长期未缴会费、未参加协会活动的会员单位不再保留会员身份，视同自动退会。根据协会秘书处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2021年12月21日核验数据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现有协会会员单位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119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（二）会员大会规模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根据《云南省社会团体换届选举工作指引（试行）》，拟召开云南省互联网协会第五次会员大会，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与会代表不少于50名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（三）会员大会代表组成原则和产生办法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协会第五次会员大会由第四届理事、第五届理事候选人、全体会员代表组成，统筹兼顾地域分布、行业类别、代表性等因素。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协会各会员单位均可报名选派代表参加协会第五次会员大会，参会代表名单由换届选举机构审议通过。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四、五届理事会成员及负责人规模、组成原则和产生办法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（一）五届理事会规模和组成原则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四届理事会成员共27位，为加强协会自身建设，适应行业发展需要，更好地发挥优秀企业的积极作用，共同推动云南省互联网行业健康可持续发展，拟进一步调整和优化新一届理事会成员的构成。结合相关单位的意愿和协会发展需求，四届理事会成员中由于相关政策调整、业务发展规划调整等原因申请退出理事会的，或不积极参与协会活动的拟不再保留，同时统筹考虑会员单位社会影响力、地域分布、会员单位业务类别等因素，计划新增理事数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新一届理事会成员仍控制在27名左右，设理事长1名、副理事长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不超过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7名、秘书长1名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（二）候选人应具备以下基本任职条件：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1、坚持中国共产党领导，贯彻习近平新时代中国特色社会主义思想，拥护中国特色社会主义，坚决执行党的路线、方针、政策；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2、遵纪守法，勤勉尽职，个人社会信用记录良好；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3、具备相应的专业知识、经验和能力，熟悉行业情况；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4、身体健康，能正常履职，负责人最高任职年龄不超过70周岁，拟任法定代表人不得同时担任其他社会团体的法定代表人，会长、法定代表人连任不得超过2届；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5、能够忠实、勤勉履行职责、维护协会和会员的合法权益；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6、具有完全民事行为能力；</w:t>
      </w:r>
    </w:p>
    <w:p>
      <w:pPr>
        <w:spacing w:line="600" w:lineRule="exact"/>
        <w:ind w:firstLine="569" w:firstLineChars="178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7、无法律、国家政策规定不得担任的其他情形。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（三）五届理事会成员及负责人候选人的产生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五届理事会成员通过会员单位自荐报名、四届理事会提名推荐等方式，经民主协调、充分酝酿、广泛征求会员单位意见后，五届理事会成员候选人由四届理事会差额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五届理事会负责人（包括理事长、副理事长、秘书长）通过四届理事会成员自荐报名、四届理事会提名推荐等方式，经民主协调、充分酝酿、广泛征求会员单位意见后，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五届</w:t>
      </w:r>
      <w:r>
        <w:rPr>
          <w:rFonts w:hint="eastAsia" w:ascii="仿宋_GB2312" w:hAnsi="仿宋_GB2312" w:eastAsia="仿宋_GB2312" w:cs="仿宋_GB2312"/>
          <w:sz w:val="32"/>
          <w:szCs w:val="32"/>
        </w:rPr>
        <w:t>理事会负责人候选人由四届理事会差额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（四）五届理事会成员及负责人的产生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由协会第五次会员大会充分协商，采用无记名投票方式对候选人进行投票表决，产生理事长、副理事长、秘书长、理事。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五、监事会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拟保持3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-4</w:t>
      </w:r>
      <w:r>
        <w:rPr>
          <w:rFonts w:hint="eastAsia" w:ascii="仿宋_GB2312" w:hAnsi="仿宋_GB2312" w:eastAsia="仿宋_GB2312" w:cs="仿宋_GB2312"/>
          <w:sz w:val="32"/>
          <w:szCs w:val="32"/>
        </w:rPr>
        <w:t>名成员的规模，设1名监事长。监事会成员由会员单位自荐报名、四届理事会提名推荐等方式，经过民主协调、充分酝酿、广泛征求会员单位意见后，监事会成员候选人由四届理事会差额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选举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</w:t>
      </w:r>
      <w:r>
        <w:rPr>
          <w:rFonts w:hint="eastAsia" w:ascii="仿宋_GB2312" w:hAnsi="仿宋_GB2312" w:eastAsia="仿宋_GB2312" w:cs="仿宋_GB2312"/>
          <w:sz w:val="32"/>
          <w:szCs w:val="32"/>
        </w:rPr>
        <w:t>。协会第五次会员大会采用无记名投票方式对监事会成员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候选人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进行投票表决，产生监事，监事长在大会当天由监事推选。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六、换届工作时序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（一）召开第四届理事会全体会议，审议通过理事会换届方案、会员名册等，正式启动换届工作，并开启会员大会报名和理事会候选人自荐、酝酿，充分酝酿理事会成员及负责人候选人。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（二）公示会员名册（公示期7天）。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（三）起草协会四届理事会工作报告、财务报告、协会章程制度修改案等。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（四）形成理事会成员、监事会成员候选建议名单，理事长、副理事长、秘书长候选人建议名单，由协会四届理事会全体会议差额投票通过。会员大会代表名单、会员大会主要议程，由协会四届理事会表决通过。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（五）报省通信管理局和省民政厅批准召开换届选举大会。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（六）公示五届理事会成员及负责人候选名单、五届监事会成员候选名单（公示期不少于7天，但换届大会需于公示日至少15天后方可召开）。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（七）召开会员代表大会，投票选举产生新一届理事会和监事会。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（八）报省通信管理局和省民政厅备案。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B1788"/>
    <w:multiLevelType w:val="multilevel"/>
    <w:tmpl w:val="690B1788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87E57"/>
    <w:rsid w:val="7208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2021-12-29T10:18:00Z</dcterms:created>
  <dc:creator>MORE</dc:creator>
  <cp:lastModifiedBy>MORE</cp:lastModifiedBy>
  <dcterms:modified xsi:type="dcterms:W3CDTF">2021-12-29T10:18:20Z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2E6BF78E3B2F4AE8BB4F31B4EAF94A96</vt:lpwstr>
  </property>
</Properties>
</file>